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B8" w:rsidRDefault="00D63EF9">
      <w:pPr>
        <w:pStyle w:val="Titre3"/>
        <w:jc w:val="center"/>
        <w:rPr>
          <w:rFonts w:ascii="Montserrat" w:eastAsia="Montserrat" w:hAnsi="Montserrat" w:cs="Montserrat"/>
        </w:rPr>
      </w:pPr>
      <w:bookmarkStart w:id="0" w:name="_heading=h.nczkuf6j8ysh" w:colFirst="0" w:colLast="0"/>
      <w:bookmarkEnd w:id="0"/>
      <w:r>
        <w:rPr>
          <w:rFonts w:ascii="Montserrat" w:eastAsia="Montserrat" w:hAnsi="Montserrat" w:cs="Montserrat"/>
        </w:rPr>
        <w:t>Communiqué de presse</w:t>
      </w:r>
    </w:p>
    <w:p w:rsidR="00E81FB8" w:rsidRDefault="00D63EF9" w:rsidP="00A510B8">
      <w:pPr>
        <w:jc w:val="center"/>
        <w:rPr>
          <w:rFonts w:ascii="Montserrat" w:eastAsia="Montserrat" w:hAnsi="Montserrat" w:cs="Montserrat"/>
        </w:rPr>
      </w:pPr>
      <w:r>
        <w:rPr>
          <w:noProof/>
        </w:rPr>
        <w:drawing>
          <wp:inline distT="0" distB="0" distL="0" distR="0">
            <wp:extent cx="1490486" cy="9525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490486" cy="952500"/>
                    </a:xfrm>
                    <a:prstGeom prst="rect">
                      <a:avLst/>
                    </a:prstGeom>
                    <a:ln/>
                  </pic:spPr>
                </pic:pic>
              </a:graphicData>
            </a:graphic>
          </wp:inline>
        </w:drawing>
      </w:r>
    </w:p>
    <w:p w:rsidR="00E81FB8" w:rsidRDefault="00E81FB8">
      <w:pPr>
        <w:rPr>
          <w:rFonts w:ascii="Montserrat" w:eastAsia="Montserrat" w:hAnsi="Montserrat" w:cs="Montserrat"/>
        </w:rPr>
      </w:pPr>
    </w:p>
    <w:p w:rsidR="00E81FB8" w:rsidRDefault="00E81FB8">
      <w:pPr>
        <w:rPr>
          <w:rFonts w:ascii="Montserrat" w:eastAsia="Montserrat" w:hAnsi="Montserrat" w:cs="Montserrat"/>
        </w:rPr>
      </w:pPr>
    </w:p>
    <w:p w:rsidR="00E81FB8" w:rsidRDefault="00E81FB8">
      <w:pPr>
        <w:rPr>
          <w:rFonts w:ascii="Montserrat" w:eastAsia="Montserrat" w:hAnsi="Montserrat" w:cs="Montserrat"/>
        </w:rPr>
      </w:pPr>
    </w:p>
    <w:p w:rsidR="00E81FB8" w:rsidRDefault="00E81FB8">
      <w:pPr>
        <w:rPr>
          <w:rFonts w:ascii="Montserrat" w:eastAsia="Montserrat" w:hAnsi="Montserrat" w:cs="Montserrat"/>
        </w:rPr>
      </w:pPr>
    </w:p>
    <w:p w:rsidR="00E81FB8" w:rsidRDefault="00D63EF9">
      <w:pPr>
        <w:jc w:val="right"/>
        <w:rPr>
          <w:rFonts w:ascii="Montserrat" w:eastAsia="Montserrat" w:hAnsi="Montserrat" w:cs="Montserrat"/>
          <w:sz w:val="18"/>
          <w:szCs w:val="18"/>
        </w:rPr>
      </w:pPr>
      <w:r>
        <w:rPr>
          <w:rFonts w:ascii="Montserrat" w:eastAsia="Montserrat" w:hAnsi="Montserrat" w:cs="Montserrat"/>
          <w:sz w:val="18"/>
          <w:szCs w:val="18"/>
        </w:rPr>
        <w:t>Date : 25 février 2022.</w:t>
      </w:r>
    </w:p>
    <w:p w:rsidR="00E81FB8" w:rsidRDefault="00D63EF9">
      <w:pPr>
        <w:jc w:val="right"/>
        <w:rPr>
          <w:rFonts w:ascii="Montserrat" w:eastAsia="Montserrat" w:hAnsi="Montserrat" w:cs="Montserrat"/>
          <w:sz w:val="18"/>
          <w:szCs w:val="18"/>
        </w:rPr>
      </w:pPr>
      <w:r>
        <w:rPr>
          <w:rFonts w:ascii="Montserrat" w:eastAsia="Montserrat" w:hAnsi="Montserrat" w:cs="Montserrat"/>
          <w:color w:val="444444"/>
          <w:sz w:val="18"/>
          <w:szCs w:val="18"/>
          <w:highlight w:val="white"/>
        </w:rPr>
        <w:t xml:space="preserve">Lieu : </w:t>
      </w:r>
      <w:r>
        <w:rPr>
          <w:rFonts w:ascii="Montserrat" w:eastAsia="Montserrat" w:hAnsi="Montserrat" w:cs="Montserrat"/>
          <w:sz w:val="18"/>
          <w:szCs w:val="18"/>
        </w:rPr>
        <w:t>Hôtel de Roquelaure, Paris 7e.</w:t>
      </w:r>
    </w:p>
    <w:p w:rsidR="00E81FB8" w:rsidRDefault="00D63EF9">
      <w:pPr>
        <w:pStyle w:val="Titre2"/>
        <w:jc w:val="center"/>
        <w:rPr>
          <w:rFonts w:ascii="Montserrat" w:eastAsia="Montserrat" w:hAnsi="Montserrat" w:cs="Montserrat"/>
        </w:rPr>
      </w:pPr>
      <w:bookmarkStart w:id="1" w:name="_heading=h.1obwcw5psck5" w:colFirst="0" w:colLast="0"/>
      <w:bookmarkEnd w:id="1"/>
      <w:r>
        <w:rPr>
          <w:rFonts w:ascii="Montserrat" w:eastAsia="Montserrat" w:hAnsi="Montserrat" w:cs="Montserrat"/>
        </w:rPr>
        <w:t xml:space="preserve">Signature de la convention du programme OSCAR par Emmanuelle </w:t>
      </w:r>
      <w:r w:rsidR="001C3C03">
        <w:rPr>
          <w:rFonts w:ascii="Montserrat" w:eastAsia="Montserrat" w:hAnsi="Montserrat" w:cs="Montserrat"/>
        </w:rPr>
        <w:t>WARGON</w:t>
      </w:r>
      <w:r>
        <w:rPr>
          <w:rFonts w:ascii="Montserrat" w:eastAsia="Montserrat" w:hAnsi="Montserrat" w:cs="Montserrat"/>
        </w:rPr>
        <w:t xml:space="preserve">, ministre déléguée au logement. </w:t>
      </w:r>
    </w:p>
    <w:p w:rsidR="00E81FB8" w:rsidRDefault="00E81FB8"/>
    <w:p w:rsidR="00E81FB8" w:rsidRDefault="00D63EF9">
      <w:pPr>
        <w:jc w:val="both"/>
        <w:rPr>
          <w:rFonts w:ascii="Montserrat" w:eastAsia="Montserrat" w:hAnsi="Montserrat" w:cs="Montserrat"/>
        </w:rPr>
      </w:pPr>
      <w:r>
        <w:rPr>
          <w:rFonts w:ascii="Montserrat" w:eastAsia="Montserrat" w:hAnsi="Montserrat" w:cs="Montserrat"/>
          <w:b/>
        </w:rPr>
        <w:t xml:space="preserve">Le 25 février prochain, Emmanuelle </w:t>
      </w:r>
      <w:r w:rsidR="001C3C03">
        <w:rPr>
          <w:rFonts w:ascii="Montserrat" w:eastAsia="Montserrat" w:hAnsi="Montserrat" w:cs="Montserrat"/>
          <w:b/>
        </w:rPr>
        <w:t>WARGON</w:t>
      </w:r>
      <w:r>
        <w:rPr>
          <w:rFonts w:ascii="Montserrat" w:eastAsia="Montserrat" w:hAnsi="Montserrat" w:cs="Montserrat"/>
          <w:b/>
        </w:rPr>
        <w:t xml:space="preserve">, ministre déléguée au logement auprès de la ministre de la Transition écologique, participera à la signature de la convention encadrant le programme OSCAR, aux côtés de l’ADEME et de l’ATEE. Dans le cadre de son objectif de réduction globale de la consommation d'énergie, le gouvernement souhaite ainsi soutenir et massifier le recours aux dispositifs d’aide à la rénovation énergétique par les acteurs de la filière du </w:t>
      </w:r>
      <w:r w:rsidR="008928EF">
        <w:rPr>
          <w:rFonts w:ascii="Montserrat" w:eastAsia="Montserrat" w:hAnsi="Montserrat" w:cs="Montserrat"/>
          <w:b/>
        </w:rPr>
        <w:t>B</w:t>
      </w:r>
      <w:r>
        <w:rPr>
          <w:rFonts w:ascii="Montserrat" w:eastAsia="Montserrat" w:hAnsi="Montserrat" w:cs="Montserrat"/>
          <w:b/>
        </w:rPr>
        <w:t xml:space="preserve">âtiment. </w:t>
      </w:r>
    </w:p>
    <w:p w:rsidR="00E81FB8" w:rsidRDefault="00D63EF9">
      <w:pPr>
        <w:jc w:val="both"/>
        <w:rPr>
          <w:rFonts w:ascii="Montserrat" w:eastAsia="Montserrat" w:hAnsi="Montserrat" w:cs="Montserrat"/>
        </w:rPr>
      </w:pPr>
      <w:r>
        <w:rPr>
          <w:rFonts w:ascii="Montserrat" w:eastAsia="Montserrat" w:hAnsi="Montserrat" w:cs="Montserrat"/>
        </w:rPr>
        <w:t xml:space="preserve">Le programme OSCAR doit permettre aux professionnels du </w:t>
      </w:r>
      <w:r w:rsidR="008928EF">
        <w:rPr>
          <w:rFonts w:ascii="Montserrat" w:eastAsia="Montserrat" w:hAnsi="Montserrat" w:cs="Montserrat"/>
        </w:rPr>
        <w:t>B</w:t>
      </w:r>
      <w:r>
        <w:rPr>
          <w:rFonts w:ascii="Montserrat" w:eastAsia="Montserrat" w:hAnsi="Montserrat" w:cs="Montserrat"/>
        </w:rPr>
        <w:t>âtiment de s’emparer des dispositifs Ma prime Rénov’ et des Certificats d’économie d’énergie (CEE). Il s'agit également de faciliter leur parcours administratif ainsi que celui des ménages pour accélérer la réalisation de travaux de rénovation énergétique dans le secteur résidentiel.</w:t>
      </w:r>
      <w:r w:rsidR="008928EF">
        <w:rPr>
          <w:rFonts w:ascii="Montserrat" w:eastAsia="Montserrat" w:hAnsi="Montserrat" w:cs="Montserrat"/>
        </w:rPr>
        <w:t xml:space="preserve"> </w:t>
      </w:r>
    </w:p>
    <w:p w:rsidR="00E81FB8" w:rsidRDefault="00D63EF9">
      <w:pPr>
        <w:jc w:val="both"/>
        <w:rPr>
          <w:rFonts w:ascii="Montserrat" w:eastAsia="Montserrat" w:hAnsi="Montserrat" w:cs="Montserrat"/>
          <w:color w:val="222222"/>
          <w:highlight w:val="white"/>
        </w:rPr>
      </w:pPr>
      <w:r>
        <w:rPr>
          <w:rFonts w:ascii="Montserrat" w:eastAsia="Montserrat" w:hAnsi="Montserrat" w:cs="Montserrat"/>
        </w:rPr>
        <w:t>Les objectifs suivants sont ainsi fixés dans la convention soutenue par le gouvernement :</w:t>
      </w:r>
    </w:p>
    <w:p w:rsidR="00E81FB8" w:rsidRDefault="00D63EF9">
      <w:pPr>
        <w:numPr>
          <w:ilvl w:val="0"/>
          <w:numId w:val="1"/>
        </w:numPr>
        <w:spacing w:after="0" w:line="276" w:lineRule="auto"/>
        <w:jc w:val="both"/>
        <w:rPr>
          <w:rFonts w:ascii="Montserrat" w:eastAsia="Montserrat" w:hAnsi="Montserrat" w:cs="Montserrat"/>
          <w:color w:val="222222"/>
          <w:highlight w:val="white"/>
        </w:rPr>
      </w:pPr>
      <w:r>
        <w:rPr>
          <w:rFonts w:ascii="Montserrat" w:eastAsia="Montserrat" w:hAnsi="Montserrat" w:cs="Montserrat"/>
          <w:color w:val="222222"/>
          <w:highlight w:val="white"/>
        </w:rPr>
        <w:t>La création d’une communauté de 6 000 référents d’aide à la rénovation, présents en France métropolitaine et en Corse ;</w:t>
      </w:r>
    </w:p>
    <w:p w:rsidR="00E81FB8" w:rsidRDefault="00D63EF9">
      <w:pPr>
        <w:numPr>
          <w:ilvl w:val="0"/>
          <w:numId w:val="1"/>
        </w:numPr>
        <w:spacing w:after="0" w:line="276" w:lineRule="auto"/>
        <w:jc w:val="both"/>
        <w:rPr>
          <w:rFonts w:ascii="Montserrat" w:eastAsia="Montserrat" w:hAnsi="Montserrat" w:cs="Montserrat"/>
          <w:color w:val="222222"/>
          <w:highlight w:val="white"/>
        </w:rPr>
      </w:pPr>
      <w:r>
        <w:rPr>
          <w:rFonts w:ascii="Montserrat" w:eastAsia="Montserrat" w:hAnsi="Montserrat" w:cs="Montserrat"/>
          <w:color w:val="222222"/>
          <w:highlight w:val="white"/>
        </w:rPr>
        <w:t>La simplification des démarches administratives, notamment grâce à la dématérialisation du dispositif des CEE ;</w:t>
      </w:r>
    </w:p>
    <w:p w:rsidR="00E81FB8" w:rsidRDefault="00D63EF9">
      <w:pPr>
        <w:numPr>
          <w:ilvl w:val="0"/>
          <w:numId w:val="1"/>
        </w:numPr>
        <w:spacing w:after="0" w:line="276" w:lineRule="auto"/>
        <w:jc w:val="both"/>
        <w:rPr>
          <w:rFonts w:ascii="Montserrat" w:eastAsia="Montserrat" w:hAnsi="Montserrat" w:cs="Montserrat"/>
          <w:color w:val="222222"/>
          <w:highlight w:val="white"/>
        </w:rPr>
      </w:pPr>
      <w:r>
        <w:rPr>
          <w:rFonts w:ascii="Montserrat" w:eastAsia="Montserrat" w:hAnsi="Montserrat" w:cs="Montserrat"/>
          <w:color w:val="222222"/>
          <w:highlight w:val="white"/>
        </w:rPr>
        <w:t>La création d’un site internet ressources, conçu pour les artisans et les entreprises du Bâtiment.</w:t>
      </w:r>
    </w:p>
    <w:p w:rsidR="00E81FB8" w:rsidRDefault="00E81FB8">
      <w:pPr>
        <w:spacing w:after="0" w:line="276" w:lineRule="auto"/>
        <w:ind w:left="720"/>
        <w:jc w:val="both"/>
        <w:rPr>
          <w:rFonts w:ascii="Montserrat" w:eastAsia="Montserrat" w:hAnsi="Montserrat" w:cs="Montserrat"/>
          <w:color w:val="222222"/>
          <w:highlight w:val="white"/>
        </w:rPr>
      </w:pPr>
    </w:p>
    <w:p w:rsidR="00334B12" w:rsidRDefault="00334B12">
      <w:pPr>
        <w:spacing w:after="0" w:line="276" w:lineRule="auto"/>
        <w:ind w:left="720"/>
        <w:jc w:val="both"/>
        <w:rPr>
          <w:rFonts w:ascii="Montserrat" w:eastAsia="Montserrat" w:hAnsi="Montserrat" w:cs="Montserrat"/>
          <w:color w:val="222222"/>
          <w:highlight w:val="white"/>
        </w:rPr>
      </w:pPr>
      <w:bookmarkStart w:id="2" w:name="_GoBack"/>
      <w:bookmarkEnd w:id="2"/>
    </w:p>
    <w:p w:rsidR="00E81FB8" w:rsidRDefault="00D63EF9">
      <w:pPr>
        <w:jc w:val="both"/>
        <w:rPr>
          <w:rFonts w:ascii="Montserrat" w:eastAsia="Montserrat" w:hAnsi="Montserrat" w:cs="Montserrat"/>
        </w:rPr>
      </w:pPr>
      <w:r>
        <w:rPr>
          <w:rFonts w:ascii="Montserrat" w:eastAsia="Montserrat" w:hAnsi="Montserrat" w:cs="Montserrat"/>
        </w:rPr>
        <w:t>Porté par l’ATEE, le programme sera opérationnel à partir du troisième trimestre de 2022 et visera 600 000 professionnels du bâtiment d’ici à 2024. Les réseaux de professionnels de la filière</w:t>
      </w:r>
      <w:r w:rsidR="008928EF">
        <w:rPr>
          <w:rFonts w:ascii="Montserrat" w:eastAsia="Montserrat" w:hAnsi="Montserrat" w:cs="Montserrat"/>
        </w:rPr>
        <w:t>, à savoir la CAPEB, la FFB, la FDMC et la FDME-FNAS,</w:t>
      </w:r>
      <w:r>
        <w:rPr>
          <w:rFonts w:ascii="Montserrat" w:eastAsia="Montserrat" w:hAnsi="Montserrat" w:cs="Montserrat"/>
        </w:rPr>
        <w:t xml:space="preserve"> seront également mobilisés</w:t>
      </w:r>
      <w:r w:rsidR="008928EF">
        <w:rPr>
          <w:rFonts w:ascii="Montserrat" w:eastAsia="Montserrat" w:hAnsi="Montserrat" w:cs="Montserrat"/>
        </w:rPr>
        <w:t xml:space="preserve">, notamment pour </w:t>
      </w:r>
      <w:r>
        <w:rPr>
          <w:rFonts w:ascii="Montserrat" w:eastAsia="Montserrat" w:hAnsi="Montserrat" w:cs="Montserrat"/>
        </w:rPr>
        <w:t>assurer un maillage territorial adapté et pérenniser les dynamiques collectives d’économie d’énergie.</w:t>
      </w:r>
    </w:p>
    <w:p w:rsidR="00E81FB8" w:rsidRDefault="00D63EF9">
      <w:pPr>
        <w:jc w:val="both"/>
        <w:rPr>
          <w:rFonts w:ascii="Montserrat" w:eastAsia="Montserrat" w:hAnsi="Montserrat" w:cs="Montserrat"/>
        </w:rPr>
      </w:pPr>
      <w:r>
        <w:rPr>
          <w:rFonts w:ascii="Montserrat" w:eastAsia="Montserrat" w:hAnsi="Montserrat" w:cs="Montserrat"/>
        </w:rPr>
        <w:t xml:space="preserve">Le programme OSCAR est financé par AIDEE, DISTRIDYN, EDF, ESSO S.A.F, SIPLEC et TOTALENERGIES Marketing France à hauteur de 15 millions d’euros, pour un volume de CEE équivalent à 2 256 GWh cumac, sur la période 2022 – 2024. </w:t>
      </w:r>
    </w:p>
    <w:p w:rsidR="00E81FB8" w:rsidRDefault="00E81FB8">
      <w:pPr>
        <w:jc w:val="both"/>
        <w:rPr>
          <w:rFonts w:ascii="Montserrat" w:eastAsia="Montserrat" w:hAnsi="Montserrat" w:cs="Montserrat"/>
        </w:rPr>
      </w:pPr>
    </w:p>
    <w:p w:rsidR="008928EF" w:rsidRDefault="008928EF">
      <w:pPr>
        <w:jc w:val="both"/>
        <w:rPr>
          <w:rFonts w:ascii="Montserrat" w:eastAsia="Montserrat" w:hAnsi="Montserrat" w:cs="Montserrat"/>
          <w:b/>
          <w:sz w:val="20"/>
          <w:szCs w:val="20"/>
        </w:rPr>
      </w:pPr>
    </w:p>
    <w:p w:rsidR="00E81FB8" w:rsidRDefault="00D63EF9">
      <w:pPr>
        <w:jc w:val="both"/>
        <w:rPr>
          <w:rFonts w:ascii="Montserrat" w:eastAsia="Montserrat" w:hAnsi="Montserrat" w:cs="Montserrat"/>
          <w:sz w:val="20"/>
          <w:szCs w:val="20"/>
        </w:rPr>
      </w:pPr>
      <w:r>
        <w:rPr>
          <w:rFonts w:ascii="Montserrat" w:eastAsia="Montserrat" w:hAnsi="Montserrat" w:cs="Montserrat"/>
          <w:b/>
          <w:sz w:val="20"/>
          <w:szCs w:val="20"/>
        </w:rPr>
        <w:t>A propos de l’ATEE :</w:t>
      </w:r>
      <w:r>
        <w:rPr>
          <w:rFonts w:ascii="Montserrat" w:eastAsia="Montserrat" w:hAnsi="Montserrat" w:cs="Montserrat"/>
          <w:sz w:val="20"/>
          <w:szCs w:val="20"/>
        </w:rPr>
        <w:t xml:space="preserve"> L’Association Technique Energie Environnement est une association Loi 1901 impliquée depuis plus de 40 ans dans la promotion de la maîtrise de l’énergie, en particulier dans l’industrie. Elle anime le dispositif des Certificats d’Economies d’Energie à travers son Club C2E, et porte déjà les programmes Pro‐</w:t>
      </w:r>
      <w:proofErr w:type="spellStart"/>
      <w:r>
        <w:rPr>
          <w:rFonts w:ascii="Montserrat" w:eastAsia="Montserrat" w:hAnsi="Montserrat" w:cs="Montserrat"/>
          <w:sz w:val="20"/>
          <w:szCs w:val="20"/>
        </w:rPr>
        <w:t>SMEn</w:t>
      </w:r>
      <w:proofErr w:type="spellEnd"/>
      <w:r>
        <w:rPr>
          <w:rFonts w:ascii="Montserrat" w:eastAsia="Montserrat" w:hAnsi="Montserrat" w:cs="Montserrat"/>
          <w:sz w:val="20"/>
          <w:szCs w:val="20"/>
        </w:rPr>
        <w:t xml:space="preserve"> (aide à la certification ISO 50001 sur le management de l’énergie) et Pro-REFEI (formation et animation de référents énergie dans l’industrie). L’ATEE a 2300 adhérents et 11 délégations régionales, et édite la revue bimensuelle Energie Plus. L’ATEE est également active dans les gaz verts avec ses clubs Biogaz, </w:t>
      </w:r>
      <w:proofErr w:type="spellStart"/>
      <w:r>
        <w:rPr>
          <w:rFonts w:ascii="Montserrat" w:eastAsia="Montserrat" w:hAnsi="Montserrat" w:cs="Montserrat"/>
          <w:sz w:val="20"/>
          <w:szCs w:val="20"/>
        </w:rPr>
        <w:t>Pyrogazéification</w:t>
      </w:r>
      <w:proofErr w:type="spellEnd"/>
      <w:r>
        <w:rPr>
          <w:rFonts w:ascii="Montserrat" w:eastAsia="Montserrat" w:hAnsi="Montserrat" w:cs="Montserrat"/>
          <w:sz w:val="20"/>
          <w:szCs w:val="20"/>
        </w:rPr>
        <w:t xml:space="preserve"> et Power to Gas, ainsi que dans le stockage d’énergie (électricité et chaleur) et la cogénération. (</w:t>
      </w:r>
      <w:hyperlink r:id="rId9">
        <w:r>
          <w:rPr>
            <w:rFonts w:ascii="Montserrat" w:eastAsia="Montserrat" w:hAnsi="Montserrat" w:cs="Montserrat"/>
            <w:color w:val="1155CC"/>
            <w:sz w:val="20"/>
            <w:szCs w:val="20"/>
            <w:u w:val="single"/>
          </w:rPr>
          <w:t>www.atee.fr</w:t>
        </w:r>
      </w:hyperlink>
      <w:r>
        <w:rPr>
          <w:rFonts w:ascii="Montserrat" w:eastAsia="Montserrat" w:hAnsi="Montserrat" w:cs="Montserrat"/>
          <w:sz w:val="20"/>
          <w:szCs w:val="20"/>
        </w:rPr>
        <w:t>)</w:t>
      </w:r>
    </w:p>
    <w:p w:rsidR="00E81FB8" w:rsidRDefault="00D63EF9">
      <w:pPr>
        <w:jc w:val="both"/>
        <w:rPr>
          <w:rFonts w:ascii="Montserrat" w:eastAsia="Montserrat" w:hAnsi="Montserrat" w:cs="Montserrat"/>
          <w:sz w:val="20"/>
          <w:szCs w:val="20"/>
        </w:rPr>
      </w:pPr>
      <w:r>
        <w:rPr>
          <w:rFonts w:ascii="Montserrat" w:eastAsia="Montserrat" w:hAnsi="Montserrat" w:cs="Montserrat"/>
          <w:i/>
          <w:sz w:val="20"/>
          <w:szCs w:val="20"/>
        </w:rPr>
        <w:t>Contact presse</w:t>
      </w:r>
      <w:r>
        <w:rPr>
          <w:rFonts w:ascii="Montserrat" w:eastAsia="Montserrat" w:hAnsi="Montserrat" w:cs="Montserrat"/>
          <w:sz w:val="20"/>
          <w:szCs w:val="20"/>
        </w:rPr>
        <w:t xml:space="preserve"> : Carine Fadat, </w:t>
      </w:r>
      <w:hyperlink r:id="rId10">
        <w:r>
          <w:rPr>
            <w:rFonts w:ascii="Montserrat" w:eastAsia="Montserrat" w:hAnsi="Montserrat" w:cs="Montserrat"/>
            <w:color w:val="1155CC"/>
            <w:sz w:val="20"/>
            <w:szCs w:val="20"/>
            <w:u w:val="single"/>
          </w:rPr>
          <w:t>presse.oscar@atee.fr</w:t>
        </w:r>
      </w:hyperlink>
      <w:r>
        <w:rPr>
          <w:rFonts w:ascii="Montserrat" w:eastAsia="Montserrat" w:hAnsi="Montserrat" w:cs="Montserrat"/>
          <w:sz w:val="20"/>
          <w:szCs w:val="20"/>
        </w:rPr>
        <w:t xml:space="preserve"> / </w:t>
      </w:r>
      <w:r w:rsidR="0025119B">
        <w:rPr>
          <w:rFonts w:ascii="Montserrat" w:eastAsia="Montserrat" w:hAnsi="Montserrat" w:cs="Montserrat"/>
          <w:sz w:val="20"/>
          <w:szCs w:val="20"/>
        </w:rPr>
        <w:t>06 23 37 60 60</w:t>
      </w:r>
    </w:p>
    <w:p w:rsidR="00E81FB8" w:rsidRDefault="00E81FB8">
      <w:pPr>
        <w:jc w:val="both"/>
        <w:rPr>
          <w:rFonts w:ascii="Montserrat" w:eastAsia="Montserrat" w:hAnsi="Montserrat" w:cs="Montserrat"/>
          <w:sz w:val="20"/>
          <w:szCs w:val="20"/>
        </w:rPr>
      </w:pPr>
    </w:p>
    <w:p w:rsidR="001C3C03" w:rsidRDefault="001C3C03">
      <w:pPr>
        <w:rPr>
          <w:rFonts w:ascii="Montserrat" w:eastAsia="Montserrat" w:hAnsi="Montserrat" w:cs="Montserrat"/>
        </w:rPr>
      </w:pPr>
      <w:bookmarkStart w:id="3" w:name="_heading=h.ssgkey1pn4cp" w:colFirst="0" w:colLast="0"/>
      <w:bookmarkEnd w:id="3"/>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1C3C03" w:rsidRPr="001C3C03" w:rsidRDefault="001C3C03" w:rsidP="001C3C03">
      <w:pPr>
        <w:rPr>
          <w:rFonts w:ascii="Montserrat" w:eastAsia="Montserrat" w:hAnsi="Montserrat" w:cs="Montserrat"/>
        </w:rPr>
      </w:pPr>
    </w:p>
    <w:p w:rsidR="00E81FB8" w:rsidRPr="001C3C03" w:rsidRDefault="00E81FB8" w:rsidP="001C3C03">
      <w:pPr>
        <w:jc w:val="right"/>
        <w:rPr>
          <w:rFonts w:ascii="Montserrat" w:eastAsia="Montserrat" w:hAnsi="Montserrat" w:cs="Montserrat"/>
        </w:rPr>
      </w:pPr>
    </w:p>
    <w:sectPr w:rsidR="00E81FB8" w:rsidRPr="001C3C03" w:rsidSect="00334B12">
      <w:headerReference w:type="default" r:id="rId11"/>
      <w:footerReference w:type="default" r:id="rId12"/>
      <w:pgSz w:w="11906" w:h="16838"/>
      <w:pgMar w:top="1417" w:right="1417" w:bottom="1417" w:left="1417" w:header="708" w:footer="9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98" w:rsidRDefault="00745B98">
      <w:pPr>
        <w:spacing w:after="0" w:line="240" w:lineRule="auto"/>
      </w:pPr>
      <w:r>
        <w:separator/>
      </w:r>
    </w:p>
  </w:endnote>
  <w:endnote w:type="continuationSeparator" w:id="0">
    <w:p w:rsidR="00745B98" w:rsidRDefault="0074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000000000000000"/>
    <w:charset w:val="00"/>
    <w:family w:val="auto"/>
    <w:pitch w:val="variable"/>
    <w:sig w:usb0="A00002FF" w:usb1="4000207B" w:usb2="00000000" w:usb3="00000000" w:csb0="00000197" w:csb1="00000000"/>
  </w:font>
  <w:font w:name="Monse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B8" w:rsidRDefault="001C3C03" w:rsidP="001C3C03">
    <w:pPr>
      <w:pBdr>
        <w:top w:val="nil"/>
        <w:left w:val="nil"/>
        <w:bottom w:val="nil"/>
        <w:right w:val="nil"/>
        <w:between w:val="nil"/>
      </w:pBdr>
      <w:tabs>
        <w:tab w:val="center" w:pos="4536"/>
        <w:tab w:val="right" w:pos="9072"/>
      </w:tabs>
      <w:spacing w:after="0" w:line="240" w:lineRule="auto"/>
      <w:jc w:val="center"/>
      <w:rPr>
        <w:noProof/>
        <w:color w:val="000000"/>
      </w:rPr>
    </w:pPr>
    <w:r>
      <w:rPr>
        <w:noProof/>
      </w:rPr>
      <w:drawing>
        <wp:anchor distT="0" distB="0" distL="114300" distR="114300" simplePos="0" relativeHeight="251665408" behindDoc="0" locked="0" layoutInCell="1" allowOverlap="1" wp14:anchorId="5F179494">
          <wp:simplePos x="0" y="0"/>
          <wp:positionH relativeFrom="margin">
            <wp:align>right</wp:align>
          </wp:positionH>
          <wp:positionV relativeFrom="paragraph">
            <wp:posOffset>8255</wp:posOffset>
          </wp:positionV>
          <wp:extent cx="736600" cy="355600"/>
          <wp:effectExtent l="0" t="0" r="6350" b="635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6600" cy="355600"/>
                  </a:xfrm>
                  <a:prstGeom prst="rect">
                    <a:avLst/>
                  </a:prstGeom>
                  <a:ln/>
                </pic:spPr>
              </pic:pic>
            </a:graphicData>
          </a:graphic>
        </wp:anchor>
      </w:drawing>
    </w:r>
    <w:r w:rsidR="00DF3856" w:rsidRPr="00A510B8">
      <w:rPr>
        <w:rFonts w:ascii="Monsera" w:hAnsi="Monsera"/>
        <w:noProof/>
        <w:color w:val="000000"/>
      </w:rPr>
      <w:drawing>
        <wp:anchor distT="0" distB="0" distL="114300" distR="114300" simplePos="0" relativeHeight="251664384" behindDoc="0" locked="0" layoutInCell="1" allowOverlap="1" wp14:anchorId="01ED887C" wp14:editId="1099B8D8">
          <wp:simplePos x="0" y="0"/>
          <wp:positionH relativeFrom="rightMargin">
            <wp:posOffset>215900</wp:posOffset>
          </wp:positionH>
          <wp:positionV relativeFrom="paragraph">
            <wp:posOffset>102235</wp:posOffset>
          </wp:positionV>
          <wp:extent cx="431800" cy="327025"/>
          <wp:effectExtent l="0" t="0" r="635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eastAsia="Montserrat" w:hAnsi="Montserrat" w:cs="Montserrat"/>
      </w:rPr>
      <w:t xml:space="preserve">                                                                                            </w:t>
    </w:r>
    <w:r w:rsidR="00A510B8">
      <w:rPr>
        <w:rFonts w:ascii="Montserrat" w:eastAsia="Montserrat" w:hAnsi="Montserrat" w:cs="Montserrat"/>
      </w:rPr>
      <w:t xml:space="preserve">Porteur : </w:t>
    </w:r>
    <w:r w:rsidR="00A510B8" w:rsidRPr="00A510B8">
      <w:rPr>
        <w:noProof/>
      </w:rPr>
      <w:t xml:space="preserve"> </w:t>
    </w:r>
  </w:p>
  <w:p w:rsidR="00E81FB8" w:rsidRDefault="00A510B8" w:rsidP="00A510B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98" w:rsidRDefault="00745B98">
      <w:pPr>
        <w:spacing w:after="0" w:line="240" w:lineRule="auto"/>
      </w:pPr>
      <w:r>
        <w:separator/>
      </w:r>
    </w:p>
  </w:footnote>
  <w:footnote w:type="continuationSeparator" w:id="0">
    <w:p w:rsidR="00745B98" w:rsidRDefault="0074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FB8" w:rsidRDefault="00334B1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leftMargin">
            <wp:posOffset>454660</wp:posOffset>
          </wp:positionH>
          <wp:positionV relativeFrom="paragraph">
            <wp:posOffset>-253037</wp:posOffset>
          </wp:positionV>
          <wp:extent cx="719455" cy="543560"/>
          <wp:effectExtent l="0" t="0" r="4445" b="8890"/>
          <wp:wrapNone/>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19455" cy="543560"/>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659264" behindDoc="0" locked="0" layoutInCell="1" hidden="0" allowOverlap="1">
          <wp:simplePos x="0" y="0"/>
          <wp:positionH relativeFrom="margin">
            <wp:align>left</wp:align>
          </wp:positionH>
          <wp:positionV relativeFrom="paragraph">
            <wp:posOffset>58925</wp:posOffset>
          </wp:positionV>
          <wp:extent cx="1045029" cy="388355"/>
          <wp:effectExtent l="0" t="0" r="3175" b="0"/>
          <wp:wrapNone/>
          <wp:docPr id="2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045029" cy="38835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77A74"/>
    <w:multiLevelType w:val="multilevel"/>
    <w:tmpl w:val="197E6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B8"/>
    <w:rsid w:val="001C3C03"/>
    <w:rsid w:val="0025119B"/>
    <w:rsid w:val="00334B12"/>
    <w:rsid w:val="00745B98"/>
    <w:rsid w:val="00890A9E"/>
    <w:rsid w:val="008928EF"/>
    <w:rsid w:val="00A510B8"/>
    <w:rsid w:val="00D63EF9"/>
    <w:rsid w:val="00DF3856"/>
    <w:rsid w:val="00E81FB8"/>
    <w:rsid w:val="00FE3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55E1"/>
  <w15:docId w15:val="{CB6BE7E5-2449-4190-A9D3-CFC0AD6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BA2678"/>
    <w:pPr>
      <w:tabs>
        <w:tab w:val="center" w:pos="4536"/>
        <w:tab w:val="right" w:pos="9072"/>
      </w:tabs>
      <w:spacing w:after="0" w:line="240" w:lineRule="auto"/>
    </w:pPr>
  </w:style>
  <w:style w:type="character" w:customStyle="1" w:styleId="En-tteCar">
    <w:name w:val="En-tête Car"/>
    <w:basedOn w:val="Policepardfaut"/>
    <w:link w:val="En-tte"/>
    <w:uiPriority w:val="99"/>
    <w:rsid w:val="00BA2678"/>
  </w:style>
  <w:style w:type="paragraph" w:styleId="Pieddepage">
    <w:name w:val="footer"/>
    <w:basedOn w:val="Normal"/>
    <w:link w:val="PieddepageCar"/>
    <w:uiPriority w:val="99"/>
    <w:unhideWhenUsed/>
    <w:rsid w:val="00BA2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678"/>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oscar@atee.fr" TargetMode="External"/><Relationship Id="rId4" Type="http://schemas.openxmlformats.org/officeDocument/2006/relationships/settings" Target="settings.xml"/><Relationship Id="rId9" Type="http://schemas.openxmlformats.org/officeDocument/2006/relationships/hyperlink" Target="http://www.ate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vIBDIHLcNmQHRU2PTLToN/4Aw==">AMUW2mVIMcQXsOYcwvEMN08C4MzRWdnIiLU+VLJMXzMsIhBpRC6JQInoYGQYroCWv2i45ZmP2fARZ5rVqaZmJK5Z7S9IYrWiV+j3RkuE+oaVUFjPyxzpN7Iuh/pKEpBo9cQr5CjVXKxO4Ucj6lBa4yDbogBgJUN+ceesxGw3rkefGYetOrDjmuE=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5</cp:revision>
  <cp:lastPrinted>2022-02-24T09:08:00Z</cp:lastPrinted>
  <dcterms:created xsi:type="dcterms:W3CDTF">2022-02-23T14:33:00Z</dcterms:created>
  <dcterms:modified xsi:type="dcterms:W3CDTF">2022-02-24T09:08:00Z</dcterms:modified>
</cp:coreProperties>
</file>